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avril 2027
2ème Dimanche de Pâques ou de la Divine Miséricorde (semaine II du Psautier)
</w:t>
      </w:r>
      <w:bookmarkEnd w:id="0"/>
    </w:p>
    <w:p>
      <w:pPr>
        <w:pStyle w:val="Heading2"/>
      </w:pPr>
      <w:bookmarkStart w:id="1" w:name="_Toc1"/>
      <w:r>
        <w:t>Lectures de la messe</w:t>
      </w:r>
      <w:bookmarkEnd w:id="1"/>
    </w:p>
    <w:p>
      <w:pPr>
        <w:pStyle w:val="Heading3"/>
      </w:pPr>
      <w:bookmarkStart w:id="2" w:name="_Toc2"/>
      <w:r>
        <w:t>Première lecture (Ac 4, 32-35)</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 Parole du Seigneur.
</w:t>
      </w:r>
    </w:p>
    <w:p>
      <w:pPr>
        <w:pStyle w:val="Heading3"/>
      </w:pPr>
      <w:bookmarkStart w:id="3" w:name="_Toc3"/>
      <w:r>
        <w:t>Psaume (117 (118), 2-4, 16ab-18, 22-24)</w:t>
      </w:r>
      <w:bookmarkEnd w:id="3"/>
    </w:p>
    <w:p>
      <w:pPr/>
      <w:r>
        <w:rPr/>
        <w:t xml:space="preserve">Oui, que le dise Israël : Éternel est son amour ! Que le dise la maison d’Aaron : Éternel est son amour ! Qu’ils le disent, ceux qui craignent le Seigneur : Éternel est son amour ! Le bras du Seigneur se lève, le bras du Seigneur est fort ! Non, je ne mourrai pas, je vivrai pour annoncer les actions du Seigneur. Il m’a frappé, le Seigneur, il m’a frappé, mais sans me livrer à la mort.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Jn 5, 1-6)</w:t>
      </w:r>
      <w:bookmarkEnd w:id="4"/>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2026-07-22T02:25:30+02:00</dcterms:created>
  <dcterms:modified xsi:type="dcterms:W3CDTF">2026-07-22T02:25:30+02:00</dcterms:modified>
</cp:coreProperties>
</file>

<file path=docProps/custom.xml><?xml version="1.0" encoding="utf-8"?>
<Properties xmlns="http://schemas.openxmlformats.org/officeDocument/2006/custom-properties" xmlns:vt="http://schemas.openxmlformats.org/officeDocument/2006/docPropsVTypes"/>
</file>