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2027
Ste Dévote, vierge et martyre. Patronne principale de l'Archidiocèse et de la Principauté
Solennité
</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(123 (124 ), 2-3, 4-5, 6a. 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Deuxième lecture (1 Jn 5, 1-5)</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 Parole du Seigneur.
</w:t>
      </w:r>
    </w:p>
    <w:p>
      <w:pPr>
        <w:pStyle w:val="Heading3"/>
      </w:pPr>
      <w:bookmarkStart w:id="5" w:name="_Toc5"/>
      <w:r>
        <w:t>Évangile (Jn 15, 18-21)</w:t>
      </w:r>
      <w:bookmarkEnd w:id="5"/>
    </w:p>
    <w:p>
      <w:pPr/>
      <w:r>
        <w:rPr/>
        <w:t xml:space="preserve">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2026-10-22T11:17:12+02:00</dcterms:created>
  <dcterms:modified xsi:type="dcterms:W3CDTF">2026-10-22T11:17:12+02:00</dcterms:modified>
</cp:coreProperties>
</file>

<file path=docProps/custom.xml><?xml version="1.0" encoding="utf-8"?>
<Properties xmlns="http://schemas.openxmlformats.org/officeDocument/2006/custom-properties" xmlns:vt="http://schemas.openxmlformats.org/officeDocument/2006/docPropsVTypes"/>
</file>