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août 2026
vendredi,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Co 1, 17-25)</w:t>
      </w:r>
      <w:bookmarkEnd w:id="2"/>
    </w:p>
    <w:p>
      <w:pPr/>
      <w:r>
        <w:rPr/>
        <w:t xml:space="preserve">Frères,     le Christ ne m’a pas envoyé pour baptiser, mais pour annoncer l’Évangile, et cela sans avoir recours au langage de la sagesse humaine, ce qui rendrait vaine la croix du Christ.     Car le langage de la croix est folie pour ceux qui vont à leur perte, mais pour ceux qui vont vers leur salut, pour nous, il est puissance de Dieu.     L’Écriture dit en effet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3" w:name="_Toc3"/>
      <w:r>
        <w:t>Psaume (Ps 32 (33), 1-2, 4-5, 10-11)</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Seigneur a déjoué les plans des nations, anéanti les projets des peuples. Le plan du Seigneur demeure pour toujours, les projets de son cœur subsistent d’âge en âge.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2026-10-23T02:51:29+02:00</dcterms:created>
  <dcterms:modified xsi:type="dcterms:W3CDTF">2026-10-23T02:51:29+02:00</dcterms:modified>
</cp:coreProperties>
</file>

<file path=docProps/custom.xml><?xml version="1.0" encoding="utf-8"?>
<Properties xmlns="http://schemas.openxmlformats.org/officeDocument/2006/custom-properties" xmlns:vt="http://schemas.openxmlformats.org/officeDocument/2006/docPropsVTypes"/>
</file>