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mai 2026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(1 Co 12, 3b-7.12-13)</w:t>
      </w:r>
      <w:bookmarkEnd w:id="12"/>
    </w:p>
    <w:p>
      <w:pPr/>
      <w:r>
        <w:rPr/>
        <w:t xml:space="preserve">Frères, personne n’est capable de dire : « Jésus est Seigneur » sinon dans l’Esprit Saint. Les dons de la grâce sont variés, mais c’est le même Esprit. Les services sont variés, mais c’est le même Seigneur. Les activités sont variées, mais c’est le même Dieu qui agit en tout et en tous. À chacun est donnée la manifestation de l’Esprit en vue du bien.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20, 19-23)</w:t>
      </w:r>
      <w:bookmarkEnd w:id="14"/>
    </w:p>
    <w:p>
      <w:pPr/>
      <w:r>
        <w:rPr/>
        <w:t xml:space="preserve">C’était après la mort de Jésus ;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2026-09-17T19:54:47+02:00</dcterms:created>
  <dcterms:modified xsi:type="dcterms:W3CDTF">2026-09-17T19:54:47+02:00</dcterms:modified>
</cp:coreProperties>
</file>

<file path=docProps/custom.xml><?xml version="1.0" encoding="utf-8"?>
<Properties xmlns="http://schemas.openxmlformats.org/officeDocument/2006/custom-properties" xmlns:vt="http://schemas.openxmlformats.org/officeDocument/2006/docPropsVTypes"/>
</file>