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novembre 2025
mardi,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(Rm 12, 5-16b)</w:t>
      </w:r>
      <w:bookmarkEnd w:id="2"/>
    </w:p>
    <w:p>
      <w:pPr/>
      <w:r>
        <w:rPr/>
        <w:t xml:space="preserve">Frères, nous qui sommes plusieurs, nous sommes un seul corps dans le Christ, et membres les uns des autres, chacun pour sa part. Et selon la grâce que Dieu nous a accordée, nous avons reçu des dons qui sont différents. Si c’est le don de prophétie, que ce soit à proportion du message confié ; si c’est le don de servir, que l’on serve ; si l’on est fait pour enseigner, que l’on enseigne ; pour réconforter, que l’on réconforte. Celui qui donne, qu’il soit généreux ; celui qui dirige, qu’il soit empressé ; celui qui pratique la miséricorde, qu’il ait le sourire.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2026-01-31T14:23:03+01:00</dcterms:created>
  <dcterms:modified xsi:type="dcterms:W3CDTF">2026-01-31T14:23:03+01:00</dcterms:modified>
</cp:coreProperties>
</file>

<file path=docProps/custom.xml><?xml version="1.0" encoding="utf-8"?>
<Properties xmlns="http://schemas.openxmlformats.org/officeDocument/2006/custom-properties" xmlns:vt="http://schemas.openxmlformats.org/officeDocument/2006/docPropsVTypes"/>
</file>