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octobre 2025
samedi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1-11)</w:t>
      </w:r>
      <w:bookmarkEnd w:id="2"/>
    </w:p>
    <w:p>
      <w:pPr/>
      <w:r>
        <w:rPr/>
        <w:t xml:space="preserve">Frères, pour ceux qui sont dans le Christ Jésus, il n’y a plus de condamnation. Car la loi de l’Esprit qui donne la vie dans le Christ Jésus t’a libéré de la loi du péché et de la mort. En effet, quand Dieu a envoyé son propre Fils dans une condition charnelle semblable à celle des pécheurs pour vaincre le péché, il a fait ce que la loi de Moïse ne pouvait pas faire à cause de la faiblesse humaine : il a condamné le péché dans l’homme charnel. Il voulait ainsi que l’exigence de la Loi s’accomplisse en nous, dont la conduite n’est pas selon la chair mais selon l’Esprit. En effet, ceux qui se conforment à la chair tendent vers ce qui est charnel ; ceux qui se conforment à l’Esprit tendent vers ce qui est spirituel ; et la chair tend vers la mort, mais l’Esprit tend vers la vie et la paix. Car la tendance de la chair est ennemie de Dieu, elle ne se soumet pas à la loi de Dieu, elle n’en est même pas capable.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13, 1-9)</w:t>
      </w:r>
      <w:bookmarkEnd w:id="4"/>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2026-03-17T23:03:41+01:00</dcterms:created>
  <dcterms:modified xsi:type="dcterms:W3CDTF">2026-03-17T23:03:41+01:00</dcterms:modified>
</cp:coreProperties>
</file>

<file path=docProps/custom.xml><?xml version="1.0" encoding="utf-8"?>
<Properties xmlns="http://schemas.openxmlformats.org/officeDocument/2006/custom-properties" xmlns:vt="http://schemas.openxmlformats.org/officeDocument/2006/docPropsVTypes"/>
</file>