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septembre 2025
La Croix Glorieuse
Fête du Seigneur
(semaine IV du Psautier)</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OU BIEN
</w:t>
      </w:r>
    </w:p>
    <w:p>
      <w:pPr>
        <w:pStyle w:val="Heading3"/>
      </w:pPr>
      <w:bookmarkStart w:id="3" w:name="_Toc3"/>
      <w:r>
        <w:t>Deuxième lecture (Ph 2, 6-11)</w:t>
      </w:r>
      <w:bookmarkEnd w:id="3"/>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4" w:name="_Toc4"/>
      <w:r>
        <w:t>Psaume (Ps  77 (78), 3-4a.c, 34-35, 36-37, 38ab.39)</w:t>
      </w:r>
      <w:bookmarkEnd w:id="4"/>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2026-03-16T18:05:19+01:00</dcterms:created>
  <dcterms:modified xsi:type="dcterms:W3CDTF">2026-03-16T18:05:19+01:00</dcterms:modified>
</cp:coreProperties>
</file>

<file path=docProps/custom.xml><?xml version="1.0" encoding="utf-8"?>
<Properties xmlns="http://schemas.openxmlformats.org/officeDocument/2006/custom-properties" xmlns:vt="http://schemas.openxmlformats.org/officeDocument/2006/docPropsVTypes"/>
</file>