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novembre 2024
S. André, Apôtre
Fête
</w:t>
      </w:r>
      <w:bookmarkEnd w:id="0"/>
    </w:p>
    <w:p>
      <w:pPr>
        <w:pStyle w:val="Heading2"/>
      </w:pPr>
      <w:bookmarkStart w:id="1" w:name="_Toc1"/>
      <w:r>
        <w:t>Lectures de la messe</w:t>
      </w:r>
      <w:bookmarkEnd w:id="1"/>
    </w:p>
    <w:p>
      <w:pPr>
        <w:pStyle w:val="Heading3"/>
      </w:pPr>
      <w:bookmarkStart w:id="2" w:name="_Toc2"/>
      <w:r>
        <w:t>Première lecture (Rm 10, 9-18)</w:t>
      </w:r>
      <w:bookmarkEnd w:id="2"/>
    </w:p>
    <w:p>
      <w:pPr/>
      <w:r>
        <w:rPr/>
        <w:t xml:space="preserve">Frère,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effet,quiconque invoquera le nom du Seigneur sera sauvé.     Or, comment l’invoquer, si on n’a pas mis sa foi en lui ? Comment mettre sa foi en lui, si on ne l’a pas entendu ? Comment entendre si personne ne proclame ?     Comment proclamer sans être envoyé ? Il est écrit :Comme ils sont beaux, les pas des messagers qui annoncent les bonnes nouvelles !     Et pourtant, tous n’ont pas obéi à la Bonne Nouvelle. Isaïe demande en effet :Qui a cru, Seigneur, en nous entendant parler ?     Or la foi naît de ce que l’on entend ; et ce que l’on entend, c’est la parole du Christ.     Alors, je pose la question : n’aurait-on pas entendu ? Mais si, bien sûr ! Un psaume le dit :Sur toute la terre se répand leur message et leurs paroles, jusqu’aux limites du monde.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(Mt 4, 18-22)</w:t>
      </w:r>
      <w:bookmarkEnd w:id="4"/>
    </w:p>
    <w:p>
      <w:pPr/>
      <w:r>
        <w:rPr/>
        <w:t xml:space="preserve">En ce temps-là,     comme Jésus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leur barque et leur père,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