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mai 2024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(103 (104), 1-2a, 24.35c, 27-28,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(Ga 5,16-25)</w:t>
      </w:r>
      <w:bookmarkEnd w:id="12"/>
    </w:p>
    <w:p>
      <w:pPr/>
      <w:r>
        <w:rPr/>
        <w:t xml:space="preserve">Frères, je vous le dis : marchez sous la conduite de l’Esprit Saint, et vous ne risquerez pas de satisfaire les convoitises de la chair. Car les tendances de la chair s’opposent à l’Esprit, et les tendances de l’Esprit s’opposent à la chair. En effet, il y a là un affrontement qui vous empêche de faire tout ce que vous voudriez. Mais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les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15, 26-27 ; 16, 12-15)</w:t>
      </w:r>
      <w:bookmarkEnd w:id="1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2026-05-04T08:08:40+02:00</dcterms:created>
  <dcterms:modified xsi:type="dcterms:W3CDTF">2026-05-04T08:08:40+02:00</dcterms:modified>
</cp:coreProperties>
</file>

<file path=docProps/custom.xml><?xml version="1.0" encoding="utf-8"?>
<Properties xmlns="http://schemas.openxmlformats.org/officeDocument/2006/custom-properties" xmlns:vt="http://schemas.openxmlformats.org/officeDocument/2006/docPropsVTypes"/>
</file>