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 Augustin, évêque et docteur de l'Église
Solennité
</w:t>
      </w:r>
      <w:bookmarkEnd w:id="0"/>
    </w:p>
    <w:p>
      <w:pPr>
        <w:pStyle w:val="Heading2"/>
      </w:pPr>
      <w:bookmarkStart w:id="1" w:name="_Toc1"/>
      <w:r>
        <w:t>Lectures de la messe</w:t>
      </w:r>
      <w:bookmarkEnd w:id="1"/>
    </w:p>
    <w:p>
      <w:pPr>
        <w:pStyle w:val="Heading3"/>
      </w:pPr>
      <w:bookmarkStart w:id="2" w:name="_Toc2"/>
      <w:r>
        <w:t>Première lecture (Sg 11, 20c–12, 2)</w:t>
      </w:r>
      <w:bookmarkEnd w:id="2"/>
    </w:p>
    <w:p>
      <w:pPr/>
      <w:r>
        <w:rPr/>
        <w:t xml:space="preserve">          Seigneur, tu as tout réglé avec mesure, nombre et poids.   Car ta grande puissance est toujours à ton service, et qui peut résister à la force de ton bras ?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(144 (145), 8-9, 13cd-14, 15-16,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Les yeux sur toi, tous, ils espèrent : tu leur donnes la nourriture au temps voulu ; tu ouvres ta main : tu rassasies avec bonté tout ce qui vit.  Le Seigneur est juste en toutes ses voies, fidèle en tout ce qu’il fait. Il est proche de ceux qui l’invoquent, de tous ceux qui l’invoquent en vérité.
</w:t>
      </w:r>
    </w:p>
    <w:p>
      <w:pPr>
        <w:pStyle w:val="Heading3"/>
      </w:pPr>
      <w:bookmarkStart w:id="4" w:name="_Toc4"/>
      <w:r>
        <w:t>Deuxième lecture (1 Jn 4, 7-16)</w:t>
      </w:r>
      <w:bookmarkEnd w:id="4"/>
    </w:p>
    <w:p>
      <w:pPr/>
      <w:r>
        <w:rPr/>
        <w:t xml:space="preserve">          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15, 9-17)</w:t>
      </w:r>
      <w:bookmarkEnd w:id="5"/>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2026-11-02T05:45:10+01:00</dcterms:created>
  <dcterms:modified xsi:type="dcterms:W3CDTF">2026-11-02T05:45:10+01:00</dcterms:modified>
</cp:coreProperties>
</file>

<file path=docProps/custom.xml><?xml version="1.0" encoding="utf-8"?>
<Properties xmlns="http://schemas.openxmlformats.org/officeDocument/2006/custom-properties" xmlns:vt="http://schemas.openxmlformats.org/officeDocument/2006/docPropsVTypes"/>
</file>