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juin 2021
dimanche, 13ème Semaine du Temps Ordinaire
</w:t>
      </w:r>
      <w:bookmarkEnd w:id="0"/>
    </w:p>
    <w:p>
      <w:pPr>
        <w:pStyle w:val="Heading2"/>
      </w:pPr>
      <w:bookmarkStart w:id="1" w:name="_Toc1"/>
      <w:r>
        <w:t>Lectures de la messe</w:t>
      </w:r>
      <w:bookmarkEnd w:id="1"/>
    </w:p>
    <w:p>
      <w:pPr>
        <w:pStyle w:val="Heading3"/>
      </w:pPr>
      <w:bookmarkStart w:id="2" w:name="_Toc2"/>
      <w:r>
        <w:t>Première lecture (Sg 1, 13-15 ; 2, 23-24)</w:t>
      </w:r>
      <w:bookmarkEnd w:id="2"/>
    </w:p>
    <w:p>
      <w:pPr/>
      <w:r>
        <w:rPr/>
        <w:t xml:space="preserve">Dieu n’a pas fait la mort, il ne se réjouit pas de voir mourir les êtres vivants. Il les a tous créés pour qu’ils subsistent ; ce qui naît dans le monde est porteur de vie : on n’y trouve pas de poison qui fasse mourir. La puissance de la Mort ne règne pas sur la terre, car la justice est immortelle. Dieu a créé l’homme pour l’incorruptibilité, il a fait de lui une image de sa propre identité. C’est par la jalousie du diable que la mort est entrée dans le monde ; ils en font l’expérience, ceux qui prennent parti pour lui. – Parole du Seigneur.
</w:t>
      </w:r>
    </w:p>
    <w:p>
      <w:pPr>
        <w:pStyle w:val="Heading3"/>
      </w:pPr>
      <w:bookmarkStart w:id="3" w:name="_Toc3"/>
      <w:r>
        <w:t>Psaume (29 (30), 2.4, 5-6ab, 6cd.12, 13)</w:t>
      </w:r>
      <w:bookmarkEnd w:id="3"/>
    </w:p>
    <w:p>
      <w:pPr/>
      <w:r>
        <w:rPr/>
        <w:t xml:space="preserve">Je t’exalte, Seigneur : tu m’as relevé, tu m’épargnes les rires de l’ennemi.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4" w:name="_Toc4"/>
      <w:r>
        <w:t>Deuxième lecture (2Co 8, 7.9.13-15)</w:t>
      </w:r>
      <w:bookmarkEnd w:id="4"/>
    </w:p>
    <w:p>
      <w:pPr/>
      <w:r>
        <w:rPr/>
        <w:t xml:space="preserve">Frères, puisque vous avez tout en abondance, la foi, la Parole, la connaissance de Dieu, toute sorte d’empressement et l’amour qui vous vient de nous, qu’il y ait aussi abondance dans votre don généreux ! Vous connaissez en effet le don généreux de notre Seigneur Jésus Christ : lui qui est riche, il s’est fait pauvre à cause de vous, pour que vous deveniez riches par sa pauvreté. Il ne s’agit pas de vous mettre dans la gêne en soulageant les autres, il s’agit d’égalité. Dans la circonstance présente, ce que vous avez en abondance comblera leurs besoins, afin que, réciproquement, ce qu’ils ont en abondance puisse combler vos besoins, et cela fera l’égalité, comme dit l’Écriture à propos de la manne : Celui qui en avait ramassé beaucoup n’eut rien de trop, celui qui en avait ramassé peu ne manqua de rien. – Parole du Seigneur.
</w:t>
      </w:r>
    </w:p>
    <w:p>
      <w:pPr>
        <w:pStyle w:val="Heading3"/>
      </w:pPr>
      <w:bookmarkStart w:id="5" w:name="_Toc5"/>
      <w:r>
        <w:t>Évangile (Mc  5, 21-43)</w:t>
      </w:r>
      <w:bookmarkEnd w:id="5"/>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2026-07-10T17:08:37+02:00</dcterms:created>
  <dcterms:modified xsi:type="dcterms:W3CDTF">2026-07-10T17:08:37+02:00</dcterms:modified>
</cp:coreProperties>
</file>

<file path=docProps/custom.xml><?xml version="1.0" encoding="utf-8"?>
<Properties xmlns="http://schemas.openxmlformats.org/officeDocument/2006/custom-properties" xmlns:vt="http://schemas.openxmlformats.org/officeDocument/2006/docPropsVTypes"/>
</file>