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mai 2021
vendredi,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44, 1.9-13)</w:t>
      </w:r>
      <w:bookmarkEnd w:id="2"/>
    </w:p>
    <w:p>
      <w:pPr/>
      <w:r>
        <w:rPr/>
        <w:t xml:space="preserve">Faisons l’éloge de ces hommes glorieux qui sont nos ancêtres. Il y en a d’autres dont le souvenir s’est perdu ; ils sont morts, et c’est comme s’ils n’avaient jamais existé, c’est comme s’ils n’étaient jamais nés, et de même leurs enfants après eux. Il n’en est pas ainsi des hommes de miséricorde, leurs œuvres de justice n’ont pas été oubliées. Avec leur postérité se maintiendra le bel héritage que sont leurs descendants. Leur postérité a persévéré dans les lois de l’Alliance, leurs enfants y sont restés fidèles grâce à eux. Leur descendance subsistera toujours, jamais leur gloire ne sera effacée.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 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2026-02-24T18:10:24+01:00</dcterms:created>
  <dcterms:modified xsi:type="dcterms:W3CDTF">2026-02-24T18:10:24+01:00</dcterms:modified>
</cp:coreProperties>
</file>

<file path=docProps/custom.xml><?xml version="1.0" encoding="utf-8"?>
<Properties xmlns="http://schemas.openxmlformats.org/officeDocument/2006/custom-properties" xmlns:vt="http://schemas.openxmlformats.org/officeDocument/2006/docPropsVTypes"/>
</file>