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février 2019
mardi,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 20 – 2, 4a)</w:t>
      </w:r>
      <w:bookmarkEnd w:id="2"/>
    </w:p>
    <w:p>
      <w:pPr/>
      <w:r>
        <w:rPr/>
        <w:t xml:space="preserve">Quand il créa le ciel et la terre, Dieu dit encore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Et Dieu bénit le septième jour : il le sanctifia puisque, ce jour-là, il se reposa de toute l’œuvre de création qu’il avait faite.  Telle fut l’origine du ciel et de la terre lorsqu’ils furent créés.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 Honore ton père et ta mère. Et encore : Celui qui maudit son père ou sa mère sera mis à mort. Mais vous, vous dites : Supposons qu’un homme déclare à son père ou à sa mère : “Les ressources qui m’auraient permis de t’aider sont korbane,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2026-11-05T16:41:29+01:00</dcterms:created>
  <dcterms:modified xsi:type="dcterms:W3CDTF">2026-11-05T16:41:29+01:00</dcterms:modified>
</cp:coreProperties>
</file>

<file path=docProps/custom.xml><?xml version="1.0" encoding="utf-8"?>
<Properties xmlns="http://schemas.openxmlformats.org/officeDocument/2006/custom-properties" xmlns:vt="http://schemas.openxmlformats.org/officeDocument/2006/docPropsVTypes"/>
</file>