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janvier 2019
lundi,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(He 9, 15.24-28)</w:t>
      </w:r>
      <w:bookmarkEnd w:id="2"/>
    </w:p>
    <w:p>
      <w:pPr/>
      <w:r>
        <w:rPr/>
        <w:t xml:space="preserve">Frères, le Christ est le médiateur d’une alliance nouvelle, d’un testament nouveau : puisque sa mort a permis le rachat des transgressions commises sous le premier Testament, ceux qui sont appelés peuvent recevoir l’héritage éternel jadis promis. Car 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 il offert une seule fois pour enlever les péchés de la multitude ; il apparaîtra une seconde fois, non plus à cause du péché, mais pour le salut de ceux qui l’attendent. – Parole du Seigneur.
</w:t>
      </w:r>
    </w:p>
    <w:p>
      <w:pPr>
        <w:pStyle w:val="Heading3"/>
      </w:pPr>
      <w:bookmarkStart w:id="3" w:name="_Toc3"/>
      <w:r>
        <w:t>Psaume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2025-10-25T04:08:14+02:00</dcterms:created>
  <dcterms:modified xsi:type="dcterms:W3CDTF">2025-10-25T04:08:14+02:00</dcterms:modified>
</cp:coreProperties>
</file>

<file path=docProps/custom.xml><?xml version="1.0" encoding="utf-8"?>
<Properties xmlns="http://schemas.openxmlformats.org/officeDocument/2006/custom-properties" xmlns:vt="http://schemas.openxmlformats.org/officeDocument/2006/docPropsVTypes"/>
</file>