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janvier 2017
Lundi,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9, 15.24-28)</w:t>
      </w:r>
      <w:bookmarkEnd w:id="2"/>
    </w:p>
    <w:p>
      <w:pPr/>
      <w:r>
        <w:rPr/>
        <w:t xml:space="preserve">Frères, le Christ est le médiateur d’une alliance nouvelle, d’un testament nouveau : puisque sa mort a permis le rachat des transgressions commises sous le premier Testament, ceux qui sont appelés peuvent recevoir l’héritage éternel jadis promis. Car 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 il offert une seule fois pour enlever les péchés de la multitude ; il apparaîtra une seconde fois, non plus à cause du péché, mais pour le salut de ceux qui l’attendent.  – Parole du Seigneur.
</w:t>
      </w:r>
    </w:p>
    <w:p>
      <w:pPr>
        <w:pStyle w:val="Heading3"/>
      </w:pPr>
      <w:bookmarkStart w:id="3" w:name="_Toc3"/>
      <w:r>
        <w:t>Psaume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2026-11-05T06:00:28+01:00</dcterms:created>
  <dcterms:modified xsi:type="dcterms:W3CDTF">2026-11-05T06:00:28+01:00</dcterms:modified>
</cp:coreProperties>
</file>

<file path=docProps/custom.xml><?xml version="1.0" encoding="utf-8"?>
<Properties xmlns="http://schemas.openxmlformats.org/officeDocument/2006/custom-properties" xmlns:vt="http://schemas.openxmlformats.org/officeDocument/2006/docPropsVTypes"/>
</file>