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septembre 2017
Lundi,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2, 1-8)</w:t>
      </w:r>
      <w:bookmarkEnd w:id="2"/>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3" w:name="_Toc3"/>
      <w:r>
        <w:t>Psaume (Ps 27 (28), 1ab.2, 7, 8-9)</w:t>
      </w:r>
      <w:bookmarkEnd w:id="3"/>
    </w:p>
    <w:p>
      <w:pPr/>
      <w:r>
        <w:rPr/>
        <w:t xml:space="preserve">Seigneur, mon rocher, c’est toi que j’appelle : ne reste pas sans me répondre, Entends la voix de ma prière quand je crie vers toi, quand j’élève les mains vers le Saint des Saints ! Le Seigneur est ma force et mon rempart ; à lui, mon cœur fait confiance : il m’a guéri, ma chair a refleuri, mes chants lui rendent grâce. Le Seigneur est la force de son peuple, le refuge et le salut de son messie. Sauve ton peuple, bénis ton héritage, veille sur lui, porte-le toujours.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2024-04-28T08:25:24+02:00</dcterms:created>
  <dcterms:modified xsi:type="dcterms:W3CDTF">2024-04-28T08:25:24+02:00</dcterms:modified>
</cp:coreProperties>
</file>

<file path=docProps/custom.xml><?xml version="1.0" encoding="utf-8"?>
<Properties xmlns="http://schemas.openxmlformats.org/officeDocument/2006/custom-properties" xmlns:vt="http://schemas.openxmlformats.org/officeDocument/2006/docPropsVTypes"/>
</file>