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15 avril 2017
Samedi, 
Samedi Saint
</w:t>
      </w:r>
      <w:bookmarkEnd w:id="0"/>
    </w:p>
    <w:p>
      <w:pPr>
        <w:pStyle w:val="Heading1"/>
      </w:pPr>
      <w:bookmarkStart w:id="1" w:name="_Toc1"/>
      <w:r>
        <w:t>Le Samedi saint, l'Eglise demeure auprès du tombeau dans le silence</w:t>
      </w:r>
      <w:bookmarkEnd w:id="1"/>
    </w:p>
    <w:p>
      <w:pPr>
        <w:pStyle w:val="Heading1"/>
      </w:pPr>
      <w:bookmarkStart w:id="2" w:name="_Toc2"/>
      <w:r>
        <w:t>Pour la veillée pascale, voir au Dimanche de Pâques</w:t>
      </w:r>
      <w:bookmarkEnd w:id="2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2024-04-28T09:20:45+02:00</dcterms:created>
  <dcterms:modified xsi:type="dcterms:W3CDTF">2024-04-28T09:20:45+02:00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